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20" w:rsidRDefault="00AF40D2" w:rsidP="00AF4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Side Rails and Transfer Pole Safety Policy and Procedure</w:t>
      </w:r>
    </w:p>
    <w:p w:rsidR="00AF40D2" w:rsidRDefault="00AF40D2" w:rsidP="0020542B">
      <w:pPr>
        <w:ind w:left="-180"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Purpose:  To ensure that residents are adequately assessed for the need for these mobility </w:t>
      </w:r>
      <w:r w:rsidR="00495B36">
        <w:rPr>
          <w:b/>
          <w:sz w:val="24"/>
          <w:szCs w:val="24"/>
        </w:rPr>
        <w:t xml:space="preserve">aid medical </w:t>
      </w:r>
      <w:r>
        <w:rPr>
          <w:b/>
          <w:sz w:val="24"/>
          <w:szCs w:val="24"/>
        </w:rPr>
        <w:t>devices and that residents and/or their representatives under</w:t>
      </w:r>
      <w:r w:rsidR="00C3238A">
        <w:rPr>
          <w:b/>
          <w:sz w:val="24"/>
          <w:szCs w:val="24"/>
        </w:rPr>
        <w:t>stand</w:t>
      </w:r>
      <w:r>
        <w:rPr>
          <w:b/>
          <w:sz w:val="24"/>
          <w:szCs w:val="24"/>
        </w:rPr>
        <w:t xml:space="preserve"> the relative risks and benefits of using these devices.</w:t>
      </w:r>
    </w:p>
    <w:p w:rsidR="00AF40D2" w:rsidRDefault="00AF40D2" w:rsidP="0020542B">
      <w:pPr>
        <w:ind w:left="-180"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Pre-admission or when there is a change of condition, the resident will be assessed by a qualified assessor who will answer the following questions:</w:t>
      </w:r>
    </w:p>
    <w:p w:rsidR="00AF40D2" w:rsidRDefault="00AF40D2" w:rsidP="00AF40D2">
      <w:pPr>
        <w:pStyle w:val="ListParagraph"/>
        <w:numPr>
          <w:ilvl w:val="0"/>
          <w:numId w:val="1"/>
        </w:numPr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Why is the side rail or transfer pole being used with, on or for the resident?</w:t>
      </w:r>
    </w:p>
    <w:p w:rsidR="00AF40D2" w:rsidRDefault="00AF40D2" w:rsidP="00AF40D2">
      <w:pPr>
        <w:pStyle w:val="ListParagraph"/>
        <w:numPr>
          <w:ilvl w:val="0"/>
          <w:numId w:val="1"/>
        </w:numPr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What is the purpose of the side rails or transfer pole?</w:t>
      </w:r>
    </w:p>
    <w:p w:rsidR="00AF40D2" w:rsidRDefault="00AF40D2" w:rsidP="00AF40D2">
      <w:pPr>
        <w:pStyle w:val="ListParagraph"/>
        <w:numPr>
          <w:ilvl w:val="0"/>
          <w:numId w:val="1"/>
        </w:numPr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Does the side rail or transfer pole enhance or restrict the resident’s mobility?</w:t>
      </w:r>
    </w:p>
    <w:p w:rsidR="00AB0120" w:rsidRDefault="00AB0120" w:rsidP="00AB0120">
      <w:pPr>
        <w:pStyle w:val="ListParagraph"/>
        <w:numPr>
          <w:ilvl w:val="0"/>
          <w:numId w:val="1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Does the resident have the cognitive, physical and functional ability to safely use the side  rail or transfer pole?</w:t>
      </w:r>
    </w:p>
    <w:p w:rsidR="00AB0120" w:rsidRDefault="00AB0120" w:rsidP="00C3238A">
      <w:pPr>
        <w:pStyle w:val="ListParagraph"/>
        <w:numPr>
          <w:ilvl w:val="0"/>
          <w:numId w:val="1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Can the</w:t>
      </w:r>
      <w:r w:rsidR="00963F48">
        <w:rPr>
          <w:b/>
          <w:sz w:val="24"/>
          <w:szCs w:val="24"/>
        </w:rPr>
        <w:t xml:space="preserve"> resident safely use the device</w:t>
      </w:r>
      <w:r>
        <w:rPr>
          <w:b/>
          <w:sz w:val="24"/>
          <w:szCs w:val="24"/>
        </w:rPr>
        <w:t xml:space="preserve"> independently or  should  they  always  have  caregiver assist when they use the side rail or transfer pole?</w:t>
      </w:r>
    </w:p>
    <w:p w:rsidR="00AF40D2" w:rsidRDefault="00AF40D2" w:rsidP="003C720D">
      <w:pPr>
        <w:ind w:left="-180"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there is an assessed need, the provider will discuss the risks and benefits of the side rail or transfer pole with the resident and/or the resident representative as stated on the informed consent release form.  The discussion should include the provider and resident/representative agreeing that the benefits of using the device outweigh possible risks to the particular resident, given the resident’s </w:t>
      </w:r>
      <w:r w:rsidR="003C720D">
        <w:rPr>
          <w:b/>
          <w:sz w:val="24"/>
          <w:szCs w:val="24"/>
        </w:rPr>
        <w:t>physical, cognitive and functional abilities.  As a result of the discussion of the benefits and risks, the resident/representative is given the opportunity to make an informed decision about the use of the side rail or transfer pole.  The resident/representative always has the right to refuse to use the side rail or transfer pole.</w:t>
      </w:r>
    </w:p>
    <w:p w:rsidR="0020542B" w:rsidRDefault="0020542B" w:rsidP="003C720D">
      <w:pPr>
        <w:ind w:left="-180"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provider is responsible for:</w:t>
      </w:r>
    </w:p>
    <w:p w:rsidR="0020542B" w:rsidRDefault="00C3238A" w:rsidP="0020542B">
      <w:pPr>
        <w:pStyle w:val="ListParagraph"/>
        <w:numPr>
          <w:ilvl w:val="0"/>
          <w:numId w:val="2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Notifying</w:t>
      </w:r>
      <w:r w:rsidR="003C720D" w:rsidRPr="0020542B">
        <w:rPr>
          <w:b/>
          <w:sz w:val="24"/>
          <w:szCs w:val="24"/>
        </w:rPr>
        <w:t xml:space="preserve"> the qualified assessor and the resident/representative if there is a need for a side rail or transfer pole because of a change of condition after admission. </w:t>
      </w:r>
    </w:p>
    <w:p w:rsidR="0020542B" w:rsidRDefault="0020542B" w:rsidP="0020542B">
      <w:pPr>
        <w:pStyle w:val="ListParagraph"/>
        <w:numPr>
          <w:ilvl w:val="0"/>
          <w:numId w:val="2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Notifying the assessor</w:t>
      </w:r>
      <w:r w:rsidR="003C720D" w:rsidRPr="0020542B">
        <w:rPr>
          <w:b/>
          <w:sz w:val="24"/>
          <w:szCs w:val="24"/>
        </w:rPr>
        <w:t xml:space="preserve"> if there is a change of condition which renders the resident unable to safely continue to use the </w:t>
      </w:r>
      <w:r w:rsidR="00495B36" w:rsidRPr="0020542B">
        <w:rPr>
          <w:b/>
          <w:sz w:val="24"/>
          <w:szCs w:val="24"/>
        </w:rPr>
        <w:t xml:space="preserve">side rail or </w:t>
      </w:r>
      <w:r w:rsidR="003C720D" w:rsidRPr="0020542B">
        <w:rPr>
          <w:b/>
          <w:sz w:val="24"/>
          <w:szCs w:val="24"/>
        </w:rPr>
        <w:t>transfer pole</w:t>
      </w:r>
      <w:r>
        <w:rPr>
          <w:b/>
          <w:sz w:val="24"/>
          <w:szCs w:val="24"/>
        </w:rPr>
        <w:t>.</w:t>
      </w:r>
      <w:r w:rsidR="003C720D" w:rsidRPr="0020542B">
        <w:rPr>
          <w:b/>
          <w:sz w:val="24"/>
          <w:szCs w:val="24"/>
        </w:rPr>
        <w:t xml:space="preserve"> </w:t>
      </w:r>
    </w:p>
    <w:p w:rsidR="0020542B" w:rsidRDefault="0020542B" w:rsidP="0020542B">
      <w:pPr>
        <w:pStyle w:val="ListParagraph"/>
        <w:numPr>
          <w:ilvl w:val="0"/>
          <w:numId w:val="2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Immediately removing the device</w:t>
      </w:r>
      <w:r w:rsidR="00495B36" w:rsidRPr="002054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Pr="0020542B">
        <w:rPr>
          <w:b/>
          <w:sz w:val="24"/>
          <w:szCs w:val="24"/>
        </w:rPr>
        <w:t>f the provider can see that the device is n</w:t>
      </w:r>
      <w:r>
        <w:rPr>
          <w:b/>
          <w:sz w:val="24"/>
          <w:szCs w:val="24"/>
        </w:rPr>
        <w:t xml:space="preserve">o longer safe for the resident.  This </w:t>
      </w:r>
      <w:r w:rsidR="00AB0120">
        <w:rPr>
          <w:b/>
          <w:sz w:val="24"/>
          <w:szCs w:val="24"/>
        </w:rPr>
        <w:t>must</w:t>
      </w:r>
      <w:r>
        <w:rPr>
          <w:b/>
          <w:sz w:val="24"/>
          <w:szCs w:val="24"/>
        </w:rPr>
        <w:t xml:space="preserve"> be done </w:t>
      </w:r>
      <w:r w:rsidR="00495B36" w:rsidRPr="0020542B">
        <w:rPr>
          <w:b/>
          <w:sz w:val="24"/>
          <w:szCs w:val="24"/>
        </w:rPr>
        <w:t xml:space="preserve">while awaiting the assessor visit to update the assessment and care plan.  </w:t>
      </w:r>
    </w:p>
    <w:p w:rsidR="0020542B" w:rsidRDefault="0020542B" w:rsidP="0020542B">
      <w:pPr>
        <w:pStyle w:val="ListParagraph"/>
        <w:numPr>
          <w:ilvl w:val="0"/>
          <w:numId w:val="2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495B36" w:rsidRPr="0020542B">
        <w:rPr>
          <w:b/>
          <w:sz w:val="24"/>
          <w:szCs w:val="24"/>
        </w:rPr>
        <w:t xml:space="preserve">nsuring that the informed consent release forms and negotiated care plans have </w:t>
      </w:r>
      <w:r w:rsidR="00AB0120">
        <w:rPr>
          <w:b/>
          <w:sz w:val="24"/>
          <w:szCs w:val="24"/>
        </w:rPr>
        <w:t xml:space="preserve">timely </w:t>
      </w:r>
      <w:r w:rsidR="00495B36" w:rsidRPr="0020542B">
        <w:rPr>
          <w:b/>
          <w:sz w:val="24"/>
          <w:szCs w:val="24"/>
        </w:rPr>
        <w:t xml:space="preserve">signatures reflecting the changes in caregiver interventions.  </w:t>
      </w:r>
    </w:p>
    <w:p w:rsidR="003C720D" w:rsidRDefault="0020542B" w:rsidP="0020542B">
      <w:pPr>
        <w:pStyle w:val="ListParagraph"/>
        <w:numPr>
          <w:ilvl w:val="0"/>
          <w:numId w:val="2"/>
        </w:numPr>
        <w:ind w:right="-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495B36" w:rsidRPr="0020542B">
        <w:rPr>
          <w:b/>
          <w:sz w:val="24"/>
          <w:szCs w:val="24"/>
        </w:rPr>
        <w:t>ax</w:t>
      </w:r>
      <w:r>
        <w:rPr>
          <w:b/>
          <w:sz w:val="24"/>
          <w:szCs w:val="24"/>
        </w:rPr>
        <w:t>ing</w:t>
      </w:r>
      <w:r w:rsidR="00495B36" w:rsidRPr="0020542B">
        <w:rPr>
          <w:b/>
          <w:sz w:val="24"/>
          <w:szCs w:val="24"/>
        </w:rPr>
        <w:t xml:space="preserve"> or e-mail</w:t>
      </w:r>
      <w:r>
        <w:rPr>
          <w:b/>
          <w:sz w:val="24"/>
          <w:szCs w:val="24"/>
        </w:rPr>
        <w:t>ing</w:t>
      </w:r>
      <w:r w:rsidR="00495B36" w:rsidRPr="0020542B">
        <w:rPr>
          <w:b/>
          <w:sz w:val="24"/>
          <w:szCs w:val="24"/>
        </w:rPr>
        <w:t xml:space="preserve"> the informed consent release form to the primary care provider for her/his information and signature indicating agreement with the use or </w:t>
      </w:r>
      <w:r>
        <w:rPr>
          <w:b/>
          <w:sz w:val="24"/>
          <w:szCs w:val="24"/>
        </w:rPr>
        <w:t>discontinuing</w:t>
      </w:r>
      <w:r w:rsidR="00495B36" w:rsidRPr="0020542B">
        <w:rPr>
          <w:b/>
          <w:sz w:val="24"/>
          <w:szCs w:val="24"/>
        </w:rPr>
        <w:t xml:space="preserve"> of a side rail or transfer pole.</w:t>
      </w:r>
    </w:p>
    <w:p w:rsidR="00AB0120" w:rsidRPr="00AB0120" w:rsidRDefault="00AB0120" w:rsidP="00AB0120">
      <w:pPr>
        <w:ind w:left="-180" w:right="-270"/>
        <w:jc w:val="both"/>
        <w:rPr>
          <w:b/>
          <w:sz w:val="18"/>
          <w:szCs w:val="18"/>
        </w:rPr>
      </w:pPr>
    </w:p>
    <w:sectPr w:rsidR="00AB0120" w:rsidRPr="00AB0120" w:rsidSect="00E7619F">
      <w:pgSz w:w="12240" w:h="15840"/>
      <w:pgMar w:top="1008" w:right="1440" w:bottom="1008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3C8D"/>
    <w:multiLevelType w:val="hybridMultilevel"/>
    <w:tmpl w:val="78D614B2"/>
    <w:lvl w:ilvl="0" w:tplc="9B26B1E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75CE221B"/>
    <w:multiLevelType w:val="hybridMultilevel"/>
    <w:tmpl w:val="1BACEBFE"/>
    <w:lvl w:ilvl="0" w:tplc="7A72C96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doNotTrackMoves/>
  <w:defaultTabStop w:val="720"/>
  <w:drawingGridHorizontalSpacing w:val="110"/>
  <w:displayHorizontalDrawingGridEvery w:val="2"/>
  <w:characterSpacingControl w:val="doNotCompress"/>
  <w:compat/>
  <w:rsids>
    <w:rsidRoot w:val="00AF40D2"/>
    <w:rsid w:val="00031EC7"/>
    <w:rsid w:val="00042340"/>
    <w:rsid w:val="000D25B3"/>
    <w:rsid w:val="000F5F92"/>
    <w:rsid w:val="00170354"/>
    <w:rsid w:val="001F338C"/>
    <w:rsid w:val="0020542B"/>
    <w:rsid w:val="002337A7"/>
    <w:rsid w:val="00252D02"/>
    <w:rsid w:val="003C720D"/>
    <w:rsid w:val="00495B36"/>
    <w:rsid w:val="004D0FEC"/>
    <w:rsid w:val="00557CFB"/>
    <w:rsid w:val="00605652"/>
    <w:rsid w:val="006421B9"/>
    <w:rsid w:val="006E2B7F"/>
    <w:rsid w:val="008335E0"/>
    <w:rsid w:val="00836887"/>
    <w:rsid w:val="00963F48"/>
    <w:rsid w:val="009D128F"/>
    <w:rsid w:val="00A07620"/>
    <w:rsid w:val="00AB0120"/>
    <w:rsid w:val="00AF40D2"/>
    <w:rsid w:val="00C3238A"/>
    <w:rsid w:val="00D17009"/>
    <w:rsid w:val="00E7619F"/>
    <w:rsid w:val="00F15DA9"/>
    <w:rsid w:val="00F46B5F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F4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Debra everson</cp:lastModifiedBy>
  <cp:revision>3</cp:revision>
  <cp:lastPrinted>2013-10-30T04:32:00Z</cp:lastPrinted>
  <dcterms:created xsi:type="dcterms:W3CDTF">2014-09-29T00:53:00Z</dcterms:created>
  <dcterms:modified xsi:type="dcterms:W3CDTF">2014-10-27T02:16:00Z</dcterms:modified>
</cp:coreProperties>
</file>